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 GP/PM/Nº 11/2017.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11 de janeiro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Exmo.(as). Sr(as):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-PROMOTORIA DE JUSTIÇA DE CUMARU (PE) – EXMO. DR. MUNI CATÃO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-PROCURADOR GERAL DE JUSTIÇA DO MINISTÉRIO PÚBLICO DE PERNAMBUCO – EXMO. DR. CARLOS GUERRA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-COORDENADOR DO CENTRO DE APOIO OPERACIONAL ÀS PROMOTORIAS DE JUSTIÇA DO PATRIMÔNIO PÚBLICO E SOCIAL (CAOP/MPPE) – EXMO. DR. MAVIAEL SOUZA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-PROCURADORA GERAL DO MINISTÉRIO PÚBLICO DE CONTAS DE PERNAMBUCO – EXMA. DRA. GERMANA LAUREANO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-PRESIDENTE DO TRIBUNAL DE CONTAS DO ESTADO DE PERNAMBUCO – EXMO. DR. CARLOS PORTO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 Senhores(as),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Na condição de Prefeita eleita do Município de Cumaru/PE para a gestão 2017/2020, venho comunicar os seguintes fatos decorrentes da transição de governo e início de mandato: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Com o início de minha gestão à partir de 1º de janeiro deste ano, recebi a Prefeitura do gestor anterior, Sr. Ex-Prefeito, Eduardo Gonçalves Tabosa Júnior, com todos os computadores formatados, zerados, sem qualquer arquivo ou documento, ou seja, sem qualquer banco de dados contendo contabilidade, folha de pessoal, dentre outros documentos e informações imprescindíveis à continuidade dos serviços essenciais, inclusive, pagamento de servidores ativos e inativos.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Desta feita, destaco que após solicitação às empresas que detinham os bancos de dados, recebemos os arquivos da folha de pessoal na data de 09/01/2017, onde estamos realizando uma auditoria minuciosa para conferência de todos os servidores e os respectivos valores.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Quanto ao banco de dados de toda contabilidade e dados financeiros, informo que muito embora tenha solicitado à empresa responsável, até a presente data os arquivos ainda não foram entregues.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Situação que não foi diferente, se refere a toda frota de veículos próprios do Município, onde inobstante a vultuosa quantia dispendida no ano de 2016 pela gestão anterior, boa parte da frota foi entregue sucateada e sem funcionar.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Ademais, imperioso destacar que recebi da Promotoria de Justiça de Cumaru a Recomendação nº 004/2017, para o envio de imediato de projeto de lei à Câmara Municipal para corrigir o vencimento básico dos servidores públicos municipais em valor não inferior ao salário mínimo nacional vigente. Neste sentido, informo que é imprescindível a realização de estudo de impacto financeiro, tendo em vista o levantamento de todo o quadro de pessoal, a repercussão das incidências, dentre outras questões contábeis e fiscais, deixando claro, de pronto, que tal adequação é medida prioritária desta gestão e será realizada tão logo possa normalizar a prestação dos serviços essenciais e o levantamento de todo o quadro de servidores.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Renovo votos de estima e consideração.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Atenciosamente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